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>
          <w:rFonts w:ascii="Calibri" w:hAnsi="Calibri" w:eastAsia="Calibri" w:cs="Calibri"/>
        </w:rPr>
      </w:pPr>
      <w:r>
        <w:rPr/>
        <w:t>Valutazione euristica</w:t>
      </w:r>
    </w:p>
    <w:p>
      <w:pPr>
        <w:pStyle w:val="BodyText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Valerio Cipolloni 10792235</w:t>
      </w:r>
    </w:p>
    <w:p>
      <w:pPr>
        <w:pStyle w:val="Heading2"/>
        <w:spacing w:before="0" w:after="283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  <w:t xml:space="preserve"> </w:t>
      </w:r>
      <w:r>
        <w:rPr>
          <w:rFonts w:eastAsia="Calibri" w:cs="Calibri" w:ascii="Calibri" w:hAnsi="Calibri"/>
        </w:rPr>
        <w:t>Descrizione del progetto</w:t>
      </w:r>
    </w:p>
    <w:p>
      <w:pPr>
        <w:pStyle w:val="BodyText"/>
        <w:ind w:hanging="0" w:start="0" w:end="0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  <w:t>Sorteat è un'applicazione progettata per ridurre lo spreco alimentare in contesti domestici condivisi, automatizzando la gestione dell'inventario e facilitando la comunicazione e il bilancio delle spese tra coinquilini.</w:t>
      </w:r>
    </w:p>
    <w:p>
      <w:pPr>
        <w:pStyle w:val="Heading2"/>
        <w:spacing w:before="0" w:after="283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  <w:t>Esecuzione della valutazione</w:t>
      </w:r>
    </w:p>
    <w:p>
      <w:pPr>
        <w:pStyle w:val="BodyText"/>
        <w:ind w:hanging="0" w:start="0" w:end="0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  <w:t>La valutazione è stata condotta individualmente analizzando il prototipo Figma fornito. Sono stati eseguiti i task principali previsti dal documento di specifiche, tra cui la verifica della necessità di acquisto , la scelta di cosa cucinare e l'aggiornamento dell'inventario condiviso. L'analisi si è concentrata sulla corrispondenza tra l'interfaccia e le 10 euristiche di Nielsen, tenendo conto del target primario di giovani adulti coinquilini.</w:t>
      </w:r>
    </w:p>
    <w:p>
      <w:pPr>
        <w:pStyle w:val="Heading2"/>
        <w:spacing w:before="0" w:after="283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  <w:t>Elenco delle violazioni</w:t>
      </w:r>
    </w:p>
    <w:p>
      <w:pPr>
        <w:pStyle w:val="BodyText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t>1. Significato ambiguo "Efficienza anti-spreco"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Euristica #2:</w:t>
      </w:r>
      <w:r>
        <w:rPr>
          <w:rFonts w:eastAsia="Calibri" w:cs="Calibri" w:ascii="Calibri" w:hAnsi="Calibri"/>
        </w:rPr>
        <w:t xml:space="preserve"> Match between system and the real world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ind w:hanging="283" w:start="709" w:end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Dove:</w:t>
      </w:r>
      <w:r>
        <w:rPr>
          <w:rFonts w:eastAsia="Calibri" w:cs="Calibri" w:ascii="Calibri" w:hAnsi="Calibri"/>
        </w:rPr>
        <w:t xml:space="preserve"> Home Page / Dashboard metriche personali.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135255</wp:posOffset>
            </wp:positionH>
            <wp:positionV relativeFrom="paragraph">
              <wp:posOffset>658495</wp:posOffset>
            </wp:positionV>
            <wp:extent cx="5673090" cy="2125345"/>
            <wp:effectExtent l="0" t="0" r="0" b="0"/>
            <wp:wrapSquare wrapText="largest"/>
            <wp:docPr id="1" name="Immagin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212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Calibri" w:cs="Calibri" w:ascii="Calibri" w:hAnsi="Calibri"/>
          <w:b/>
        </w:rPr>
        <w:t>Cosa:</w:t>
      </w:r>
      <w:r>
        <w:rPr>
          <w:rFonts w:eastAsia="Calibri" w:cs="Calibri" w:ascii="Calibri" w:hAnsi="Calibri"/>
        </w:rPr>
        <w:t xml:space="preserve"> Viene presentata una metrica definita "Efficienza anti-spreco" senza spiegare l'unità di misura o il metodo di calcolo.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Perché:</w:t>
      </w:r>
      <w:r>
        <w:rPr>
          <w:rFonts w:eastAsia="Calibri" w:cs="Calibri" w:ascii="Calibri" w:hAnsi="Calibri"/>
        </w:rPr>
        <w:t xml:space="preserve"> Il termine "efficienza" è astratto e non trova un corrispettivo immediato nel mondo reale dell'utente (non si capisce se si riferisce a soldi risparmiati, peso del cibo o numero di articoli). Questo genera confusione su come migliorare il proprio comportamento anti-spreco.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Severity:</w:t>
      </w:r>
      <w:r>
        <w:rPr>
          <w:rFonts w:eastAsia="Calibri" w:cs="Calibri" w:ascii="Calibri" w:hAnsi="Calibri"/>
        </w:rPr>
        <w:t xml:space="preserve"> 2</w:t>
      </w:r>
    </w:p>
    <w:p>
      <w:pPr>
        <w:pStyle w:val="BodyText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t>2. Condivisione "Tutto o Niente" nella lista spesa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Euristica #3:</w:t>
      </w:r>
      <w:r>
        <w:rPr>
          <w:rFonts w:eastAsia="Calibri" w:cs="Calibri" w:ascii="Calibri" w:hAnsi="Calibri"/>
        </w:rPr>
        <w:t xml:space="preserve"> User control and freedom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ind w:hanging="283" w:start="709" w:end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Dove:</w:t>
      </w:r>
      <w:r>
        <w:rPr>
          <w:rFonts w:eastAsia="Calibri" w:cs="Calibri" w:ascii="Calibri" w:hAnsi="Calibri"/>
        </w:rPr>
        <w:t xml:space="preserve"> Sezione Spesa.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Cosa:</w:t>
      </w:r>
      <w:r>
        <w:rPr>
          <w:rFonts w:eastAsia="Calibri" w:cs="Calibri" w:ascii="Calibri" w:hAnsi="Calibri"/>
        </w:rPr>
        <w:t xml:space="preserve"> Gli articoli nella lista della spesa possono essere condivisi solo con tutti i membri dello spazio o con nessuno (privati), mancando di granularità.</w:t>
      </w:r>
    </w:p>
    <w:p>
      <w:pPr>
        <w:pStyle w:val="BodyText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833370"/>
            <wp:effectExtent l="0" t="0" r="0" b="0"/>
            <wp:wrapSquare wrapText="largest"/>
            <wp:docPr id="2" name="Immagin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2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ind w:hanging="283" w:start="709" w:end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Perché:</w:t>
      </w:r>
      <w:r>
        <w:rPr>
          <w:rFonts w:eastAsia="Calibri" w:cs="Calibri" w:ascii="Calibri" w:hAnsi="Calibri"/>
        </w:rPr>
        <w:t xml:space="preserve"> In appartamenti condivisi, è frequente che solo alcuni coinquilini condividano specifici acquisti (es. due persone su tre). Il sistema costringe l'utente a una scelta binaria che non riflette le dinamiche reali, limitando la libertà di gestione.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Severity:</w:t>
      </w:r>
      <w:r>
        <w:rPr>
          <w:rFonts w:eastAsia="Calibri" w:cs="Calibri" w:ascii="Calibri" w:hAnsi="Calibri"/>
        </w:rPr>
        <w:t xml:space="preserve"> 2</w:t>
      </w:r>
    </w:p>
    <w:p>
      <w:pPr>
        <w:pStyle w:val="BodyText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t>3. Complessità Dropdown per condivisione inventario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Euristica #4:</w:t>
      </w:r>
      <w:r>
        <w:rPr>
          <w:rFonts w:eastAsia="Calibri" w:cs="Calibri" w:ascii="Calibri" w:hAnsi="Calibri"/>
        </w:rPr>
        <w:t xml:space="preserve"> Consistency and standards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start="709" w:end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Dove:</w:t>
      </w:r>
      <w:r>
        <w:rPr>
          <w:rFonts w:eastAsia="Calibri" w:cs="Calibri" w:ascii="Calibri" w:hAnsi="Calibri"/>
        </w:rPr>
        <w:t xml:space="preserve"> Task di aggiornamento inventario manuale, selezione "Proprietà".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Cosa:</w:t>
      </w:r>
      <w:r>
        <w:rPr>
          <w:rFonts w:eastAsia="Calibri" w:cs="Calibri" w:ascii="Calibri" w:hAnsi="Calibri"/>
        </w:rPr>
        <w:t xml:space="preserve"> Il menù a tendina per decidere la proprietà/condivisione di un prodotto aggiunto manualmente risulta macchinoso e difficile da utilizzare rispetto a standard più semplici (come toggle o checkbox).</w:t>
      </w:r>
    </w:p>
    <w:p>
      <w:pPr>
        <w:pStyle w:val="BodyText"/>
        <w:numPr>
          <w:ilvl w:val="0"/>
          <w:numId w:val="0"/>
        </w:numPr>
        <w:ind w:hanging="0" w:start="0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3090" cy="3121660"/>
            <wp:effectExtent l="0" t="0" r="0" b="0"/>
            <wp:wrapSquare wrapText="largest"/>
            <wp:docPr id="3" name="Immagin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312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start="709" w:end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Perché:</w:t>
      </w:r>
      <w:r>
        <w:rPr>
          <w:rFonts w:eastAsia="Calibri" w:cs="Calibri" w:ascii="Calibri" w:hAnsi="Calibri"/>
        </w:rPr>
        <w:t xml:space="preserve"> L'utilizzo di un controllo complesso per un'azione frequente viola gli standard di interfaccia mobile, rallentando il task di inserimento che dovrebbe essere rapido per evitare il carico cognitivo.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Severity:</w:t>
      </w:r>
      <w:r>
        <w:rPr>
          <w:rFonts w:eastAsia="Calibri" w:cs="Calibri" w:ascii="Calibri" w:hAnsi="Calibri"/>
        </w:rPr>
        <w:t xml:space="preserve"> 3</w:t>
      </w:r>
    </w:p>
    <w:p>
      <w:pPr>
        <w:pStyle w:val="BodyText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t>4. Mancata interazione tra unità di misura (Kg/g)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Euristica #2:</w:t>
      </w:r>
      <w:r>
        <w:rPr>
          <w:rFonts w:eastAsia="Calibri" w:cs="Calibri" w:ascii="Calibri" w:hAnsi="Calibri"/>
        </w:rPr>
        <w:t xml:space="preserve"> Match between system and the real world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start="709" w:end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Dove:</w:t>
      </w:r>
      <w:r>
        <w:rPr>
          <w:rFonts w:eastAsia="Calibri" w:cs="Calibri" w:ascii="Calibri" w:hAnsi="Calibri"/>
        </w:rPr>
        <w:t xml:space="preserve"> Inventario e inserimento prodotti.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Cosa:</w:t>
      </w:r>
      <w:r>
        <w:rPr>
          <w:rFonts w:eastAsia="Calibri" w:cs="Calibri" w:ascii="Calibri" w:hAnsi="Calibri"/>
        </w:rPr>
        <w:t xml:space="preserve"> Le unità di misura "Kg" e "g" sono trattate come entità distinte che non interagiscono tra loro; non è possibile passare da una all'altra o sommarle automaticamente.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start="709" w:end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Perché:</w:t>
      </w:r>
      <w:r>
        <w:rPr>
          <w:rFonts w:eastAsia="Calibri" w:cs="Calibri" w:ascii="Calibri" w:hAnsi="Calibri"/>
        </w:rPr>
        <w:t xml:space="preserve"> Nel mondo reale, queste unità sono convertibili. Il sistema fallisce nel replicare questa logica matematica di base, potendo causare duplicati nell'inventario o errori nella percezione delle quantità disponibili.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Severity:</w:t>
      </w:r>
      <w:r>
        <w:rPr>
          <w:rFonts w:eastAsia="Calibri" w:cs="Calibri" w:ascii="Calibri" w:hAnsi="Calibri"/>
        </w:rPr>
        <w:t xml:space="preserve"> 3</w:t>
      </w:r>
    </w:p>
    <w:p>
      <w:pPr>
        <w:pStyle w:val="BodyText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t>5. Chiarezza del risparmio economico (Esempio Pizza Toast)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Euristica #1:</w:t>
      </w:r>
      <w:r>
        <w:rPr>
          <w:rFonts w:eastAsia="Calibri" w:cs="Calibri" w:ascii="Calibri" w:hAnsi="Calibri"/>
        </w:rPr>
        <w:t xml:space="preserve"> Visibility of system status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ind w:hanging="283" w:start="709" w:end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Dove:</w:t>
      </w:r>
      <w:r>
        <w:rPr>
          <w:rFonts w:eastAsia="Calibri" w:cs="Calibri" w:ascii="Calibri" w:hAnsi="Calibri"/>
        </w:rPr>
        <w:t xml:space="preserve"> Dettaglio Ricette (es. Pizza Toast).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Cosa:</w:t>
      </w:r>
      <w:r>
        <w:rPr>
          <w:rFonts w:eastAsia="Calibri" w:cs="Calibri" w:ascii="Calibri" w:hAnsi="Calibri"/>
        </w:rPr>
        <w:t xml:space="preserve"> Viene indicato un risparmio economico (es. "Risparmi 0.60€") senza contestualizzare rispetto a cosa avviene il risparmio (rispetto all'acquisto fuori casa? rispetto ad altri ingredienti?).</w:t>
      </w:r>
    </w:p>
    <w:p>
      <w:pPr>
        <w:pStyle w:val="BodyText"/>
        <w:numPr>
          <w:ilvl w:val="0"/>
          <w:numId w:val="0"/>
        </w:numPr>
        <w:ind w:hanging="0" w:start="0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5110" cy="1638300"/>
            <wp:effectExtent l="0" t="0" r="0" b="0"/>
            <wp:wrapSquare wrapText="largest"/>
            <wp:docPr id="4" name="Immagin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5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163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ind w:hanging="283" w:start="709" w:end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Perché:</w:t>
      </w:r>
      <w:r>
        <w:rPr>
          <w:rFonts w:eastAsia="Calibri" w:cs="Calibri" w:ascii="Calibri" w:hAnsi="Calibri"/>
        </w:rPr>
        <w:t xml:space="preserve"> L'utente riceve un feedback parziale. Senza conoscere lo "stato" o la base di calcolo di quel risparmio, l'informazione perde di credibilità e utilità come motivatore economico.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Severity:</w:t>
      </w:r>
      <w:r>
        <w:rPr>
          <w:rFonts w:eastAsia="Calibri" w:cs="Calibri" w:ascii="Calibri" w:hAnsi="Calibri"/>
        </w:rPr>
        <w:t xml:space="preserve"> 2</w:t>
      </w:r>
    </w:p>
    <w:p>
      <w:pPr>
        <w:pStyle w:val="BodyText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t>6. Date Picker scadenza non standard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Euristica #4:</w:t>
      </w:r>
      <w:r>
        <w:rPr>
          <w:rFonts w:eastAsia="Calibri" w:cs="Calibri" w:ascii="Calibri" w:hAnsi="Calibri"/>
        </w:rPr>
        <w:t xml:space="preserve"> Consistency and standards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ind w:hanging="283" w:start="709" w:end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Dove:</w:t>
      </w:r>
      <w:r>
        <w:rPr>
          <w:rFonts w:eastAsia="Calibri" w:cs="Calibri" w:ascii="Calibri" w:hAnsi="Calibri"/>
        </w:rPr>
        <w:t xml:space="preserve"> Form di inserimento manuale, campo "Scadenza".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Cosa:</w:t>
      </w:r>
      <w:r>
        <w:rPr>
          <w:rFonts w:eastAsia="Calibri" w:cs="Calibri" w:ascii="Calibri" w:hAnsi="Calibri"/>
        </w:rPr>
        <w:t xml:space="preserve"> Il menù a tendina per inserire la data di scadenza è poco comprensibile, incompleto e differisce dai selettori di data standard nativi del sistema operativo.</w:t>
      </w:r>
    </w:p>
    <w:p>
      <w:pPr>
        <w:pStyle w:val="BodyText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673475"/>
            <wp:effectExtent l="0" t="0" r="0" b="0"/>
            <wp:wrapSquare wrapText="largest"/>
            <wp:docPr id="5" name="Immagin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ind w:hanging="283" w:start="709" w:end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Perché:</w:t>
      </w:r>
      <w:r>
        <w:rPr>
          <w:rFonts w:eastAsia="Calibri" w:cs="Calibri" w:ascii="Calibri" w:hAnsi="Calibri"/>
        </w:rPr>
        <w:t xml:space="preserve"> Deviare dagli standard consolidati per l'inserimento date (wheel picker su iOS o calendar view su Android) crea frizione inutile e aumenta la possibilità di errore o di abbandono del campo "consigliato".</w:t>
      </w:r>
    </w:p>
    <w:p>
      <w:pPr>
        <w:pStyle w:val="BodyText"/>
        <w:numPr>
          <w:ilvl w:val="0"/>
          <w:numId w:val="6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Severity:</w:t>
      </w:r>
      <w:r>
        <w:rPr>
          <w:rFonts w:eastAsia="Calibri" w:cs="Calibri" w:ascii="Calibri" w:hAnsi="Calibri"/>
        </w:rPr>
        <w:t xml:space="preserve"> 3</w:t>
      </w:r>
    </w:p>
    <w:p>
      <w:pPr>
        <w:pStyle w:val="BodyText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t>7. Menù Accesso Rapido ridondante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Euristica #8:</w:t>
      </w:r>
      <w:r>
        <w:rPr>
          <w:rFonts w:eastAsia="Calibri" w:cs="Calibri" w:ascii="Calibri" w:hAnsi="Calibri"/>
        </w:rPr>
        <w:t xml:space="preserve"> Aesthetic and minimalist design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Dove:</w:t>
      </w:r>
      <w:r>
        <w:rPr>
          <w:rFonts w:eastAsia="Calibri" w:cs="Calibri" w:ascii="Calibri" w:hAnsi="Calibri"/>
        </w:rPr>
        <w:t xml:space="preserve"> Pagina del Profilo Personale.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Cosa:</w:t>
      </w:r>
      <w:r>
        <w:rPr>
          <w:rFonts w:eastAsia="Calibri" w:cs="Calibri" w:ascii="Calibri" w:hAnsi="Calibri"/>
        </w:rPr>
        <w:t xml:space="preserve"> È presente un menù di "Accesso rapido" in fondo alla pagina che duplica funzioni già accessibili dalla barra di navigazione principale.</w:t>
      </w:r>
    </w:p>
    <w:p>
      <w:pPr>
        <w:pStyle w:val="BodyText"/>
        <w:numPr>
          <w:ilvl w:val="0"/>
          <w:numId w:val="0"/>
        </w:numPr>
        <w:ind w:hanging="0" w:start="0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3090" cy="3079750"/>
            <wp:effectExtent l="0" t="0" r="0" b="0"/>
            <wp:wrapSquare wrapText="largest"/>
            <wp:docPr id="6" name="Immagin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307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Perché:</w:t>
      </w:r>
      <w:r>
        <w:rPr>
          <w:rFonts w:eastAsia="Calibri" w:cs="Calibri" w:ascii="Calibri" w:hAnsi="Calibri"/>
        </w:rPr>
        <w:t xml:space="preserve"> Le informazioni irrilevanti o ridondanti in un'interfaccia competono con quelle importanti, diminuendo la visibilità relativa. Questo viola il principio di design minimalista.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Severity:</w:t>
      </w:r>
      <w:r>
        <w:rPr>
          <w:rFonts w:eastAsia="Calibri" w:cs="Calibri" w:ascii="Calibri" w:hAnsi="Calibri"/>
        </w:rPr>
        <w:t xml:space="preserve"> 1</w:t>
      </w:r>
    </w:p>
    <w:p>
      <w:pPr>
        <w:pStyle w:val="BodyText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t>8. Funzionamento poco chiaro del saldo debiti</w:t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Euristica #1:</w:t>
      </w:r>
      <w:r>
        <w:rPr>
          <w:rFonts w:eastAsia="Calibri" w:cs="Calibri" w:ascii="Calibri" w:hAnsi="Calibri"/>
        </w:rPr>
        <w:t xml:space="preserve"> Visibility of system status</w:t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ind w:hanging="283" w:start="709" w:end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Dove:</w:t>
      </w:r>
      <w:r>
        <w:rPr>
          <w:rFonts w:eastAsia="Calibri" w:cs="Calibri" w:ascii="Calibri" w:hAnsi="Calibri"/>
        </w:rPr>
        <w:t xml:space="preserve"> Sezione Bilanci, funzione di saldo.</w:t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Cosa:</w:t>
      </w:r>
      <w:r>
        <w:rPr>
          <w:rFonts w:eastAsia="Calibri" w:cs="Calibri" w:ascii="Calibri" w:hAnsi="Calibri"/>
        </w:rPr>
        <w:t xml:space="preserve"> La procedura per saldare i debiti è ambigua; non si capisce se l'app gestisca il trasferimento di denaro o se serva solo a registrare un pagamento avvenuto esternamente.</w:t>
      </w:r>
    </w:p>
    <w:p>
      <w:pPr>
        <w:pStyle w:val="BodyText"/>
        <w:numPr>
          <w:ilvl w:val="0"/>
          <w:numId w:val="0"/>
        </w:numPr>
        <w:ind w:hanging="0" w:start="0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3090" cy="3254375"/>
            <wp:effectExtent l="0" t="0" r="0" b="0"/>
            <wp:wrapSquare wrapText="largest"/>
            <wp:docPr id="7" name="Immagin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325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ind w:hanging="283" w:start="709" w:end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Perché:</w:t>
      </w:r>
      <w:r>
        <w:rPr>
          <w:rFonts w:eastAsia="Calibri" w:cs="Calibri" w:ascii="Calibri" w:hAnsi="Calibri"/>
        </w:rPr>
        <w:t xml:space="preserve"> Nella gestione di spese condivise, la chiarezza sullo stato del denaro è fondamentale. L'incertezza sul fatto che il pagamento sia stato effettivamente eseguito o solo notificato crea ansia nell'utente.</w:t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Severity:</w:t>
      </w:r>
      <w:r>
        <w:rPr>
          <w:rFonts w:eastAsia="Calibri" w:cs="Calibri" w:ascii="Calibri" w:hAnsi="Calibri"/>
        </w:rPr>
        <w:t xml:space="preserve"> 3</w:t>
      </w:r>
    </w:p>
    <w:p>
      <w:pPr>
        <w:pStyle w:val="BodyText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9. Mancata validazione input nel campo Prezzo</w:t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Euristica #5:</w:t>
      </w:r>
      <w:r>
        <w:rPr>
          <w:rFonts w:eastAsia="Calibri" w:cs="Calibri" w:ascii="Calibri" w:hAnsi="Calibri"/>
        </w:rPr>
        <w:t xml:space="preserve"> Error prevention</w:t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Dove:</w:t>
      </w:r>
      <w:r>
        <w:rPr>
          <w:rFonts w:eastAsia="Calibri" w:cs="Calibri" w:ascii="Calibri" w:hAnsi="Calibri"/>
        </w:rPr>
        <w:t xml:space="preserve"> Form di inserimento manuale, campo "Prezzo".</w:t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Cosa:</w:t>
      </w:r>
      <w:r>
        <w:rPr>
          <w:rFonts w:eastAsia="Calibri" w:cs="Calibri" w:ascii="Calibri" w:hAnsi="Calibri"/>
        </w:rPr>
        <w:t xml:space="preserve"> Il sistema permette l'inserimento del carattere alfabetico “e”e dei simboli "+" o "-" al massimo 2 volte di fila nel campo del prezzo, senza restituire errore o bloccare l'input.</w:t>
      </w:r>
    </w:p>
    <w:p>
      <w:pPr>
        <w:pStyle w:val="BodyText"/>
        <w:numPr>
          <w:ilvl w:val="0"/>
          <w:numId w:val="0"/>
        </w:numPr>
        <w:ind w:hanging="0" w:start="0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3090" cy="3312795"/>
            <wp:effectExtent l="0" t="0" r="0" b="0"/>
            <wp:wrapSquare wrapText="largest"/>
            <wp:docPr id="8" name="Immagin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3312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Perché:</w:t>
      </w:r>
      <w:r>
        <w:rPr>
          <w:rFonts w:eastAsia="Calibri" w:cs="Calibri" w:ascii="Calibri" w:hAnsi="Calibri"/>
        </w:rPr>
        <w:t xml:space="preserve"> Un campo destinato a valori monetari deve accettare esclusivamente numeri razionali positivi per garantire l'integrità dei dati. Permettere l'inserimento di testo compromette inevitabilmente i calcoli del bilancio e le statistiche di spesa, causando malfunzionamenti nel sistema.</w:t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ind w:hanging="283" w:start="709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Severity:</w:t>
      </w:r>
      <w:r>
        <w:rPr>
          <w:rFonts w:eastAsia="Calibri" w:cs="Calibri" w:ascii="Calibri" w:hAnsi="Calibri"/>
        </w:rPr>
        <w:t xml:space="preserve"> 3</w:t>
      </w:r>
    </w:p>
    <w:p>
      <w:pPr>
        <w:pStyle w:val="Normal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</w:r>
    </w:p>
    <w:p>
      <w:pPr>
        <w:pStyle w:val="Heading2"/>
        <w:rPr/>
      </w:pPr>
      <w:r>
        <w:rPr/>
      </w:r>
    </w:p>
    <w:p>
      <w:pPr>
        <w:pStyle w:val="Heading2"/>
        <w:rPr>
          <w:rFonts w:ascii="Calibri" w:hAnsi="Calibri" w:eastAsia="Calibri" w:cs="Calibri"/>
        </w:rPr>
      </w:pPr>
      <w:r>
        <w:rPr/>
        <w:t>Sintesi e raccomandazioni</w:t>
      </w:r>
    </w:p>
    <w:p>
      <w:pPr>
        <w:pStyle w:val="Normal"/>
        <w:rPr>
          <w:rFonts w:ascii="Calibri" w:hAnsi="Calibri" w:eastAsia="Calibri" w:cs="Calibri"/>
        </w:rPr>
      </w:pPr>
      <w:r>
        <w:rPr/>
        <w:t>Riportare nella tabella riassuntiva sottostante il numero totale di violazioni identificate.</w:t>
      </w:r>
    </w:p>
    <w:p>
      <w:pPr>
        <w:pStyle w:val="Normal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</w:r>
    </w:p>
    <w:tbl>
      <w:tblPr>
        <w:tblStyle w:val="Table1"/>
        <w:tblW w:w="6105" w:type="dxa"/>
        <w:jc w:val="center"/>
        <w:tblInd w:w="0" w:type="dxa"/>
        <w:tblLayout w:type="fixed"/>
        <w:tblCellMar>
          <w:top w:w="100" w:type="dxa"/>
          <w:start w:w="100" w:type="dxa"/>
          <w:bottom w:w="100" w:type="dxa"/>
          <w:end w:w="100" w:type="dxa"/>
        </w:tblCellMar>
        <w:tblLook w:val="0600"/>
      </w:tblPr>
      <w:tblGrid>
        <w:gridCol w:w="4680"/>
        <w:gridCol w:w="1425"/>
      </w:tblGrid>
      <w:tr>
        <w:trPr>
          <w:trHeight w:val="463" w:hRule="atLeast"/>
        </w:trPr>
        <w:tc>
          <w:tcPr>
            <w:tcW w:w="46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  <w:b/>
                <w:bCs/>
              </w:rPr>
            </w:pPr>
            <w:r>
              <w:rPr>
                <w:b/>
                <w:bCs/>
              </w:rPr>
              <w:t>Euristica</w:t>
            </w:r>
          </w:p>
        </w:tc>
        <w:tc>
          <w:tcPr>
            <w:tcW w:w="1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  <w:b/>
                <w:bCs/>
              </w:rPr>
            </w:pPr>
            <w:r>
              <w:rPr>
                <w:rFonts w:eastAsia="Calibri" w:cs="Calibri" w:ascii="Calibri" w:hAnsi="Calibri"/>
                <w:b/>
                <w:bCs/>
              </w:rPr>
              <w:t># violazioni</w:t>
            </w:r>
          </w:p>
        </w:tc>
      </w:tr>
      <w:tr>
        <w:trPr/>
        <w:tc>
          <w:tcPr>
            <w:tcW w:w="46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H1: Visibility of system status</w:t>
            </w:r>
          </w:p>
        </w:tc>
        <w:tc>
          <w:tcPr>
            <w:tcW w:w="1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2</w:t>
            </w:r>
          </w:p>
        </w:tc>
      </w:tr>
      <w:tr>
        <w:trPr/>
        <w:tc>
          <w:tcPr>
            <w:tcW w:w="46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H2: Match between system and the real world</w:t>
            </w:r>
          </w:p>
        </w:tc>
        <w:tc>
          <w:tcPr>
            <w:tcW w:w="1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2</w:t>
            </w:r>
          </w:p>
        </w:tc>
      </w:tr>
      <w:tr>
        <w:trPr/>
        <w:tc>
          <w:tcPr>
            <w:tcW w:w="46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H3: User control and freedom</w:t>
            </w:r>
          </w:p>
        </w:tc>
        <w:tc>
          <w:tcPr>
            <w:tcW w:w="1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1</w:t>
            </w:r>
          </w:p>
        </w:tc>
      </w:tr>
      <w:tr>
        <w:trPr/>
        <w:tc>
          <w:tcPr>
            <w:tcW w:w="46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H4: Consistency and standards</w:t>
            </w:r>
          </w:p>
        </w:tc>
        <w:tc>
          <w:tcPr>
            <w:tcW w:w="1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2</w:t>
            </w:r>
          </w:p>
        </w:tc>
      </w:tr>
      <w:tr>
        <w:trPr/>
        <w:tc>
          <w:tcPr>
            <w:tcW w:w="46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H5: Error prevention</w:t>
            </w:r>
          </w:p>
        </w:tc>
        <w:tc>
          <w:tcPr>
            <w:tcW w:w="1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1</w:t>
            </w:r>
          </w:p>
        </w:tc>
      </w:tr>
      <w:tr>
        <w:trPr/>
        <w:tc>
          <w:tcPr>
            <w:tcW w:w="46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H6: Recognition rather than recall</w:t>
            </w:r>
          </w:p>
        </w:tc>
        <w:tc>
          <w:tcPr>
            <w:tcW w:w="1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0</w:t>
            </w:r>
          </w:p>
        </w:tc>
      </w:tr>
      <w:tr>
        <w:trPr/>
        <w:tc>
          <w:tcPr>
            <w:tcW w:w="46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H7: Flexibility and efficiency of use</w:t>
            </w:r>
          </w:p>
        </w:tc>
        <w:tc>
          <w:tcPr>
            <w:tcW w:w="1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0</w:t>
            </w:r>
          </w:p>
        </w:tc>
      </w:tr>
      <w:tr>
        <w:trPr/>
        <w:tc>
          <w:tcPr>
            <w:tcW w:w="46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H8: Aesthetic and minimalist design</w:t>
            </w:r>
          </w:p>
        </w:tc>
        <w:tc>
          <w:tcPr>
            <w:tcW w:w="1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1</w:t>
            </w:r>
          </w:p>
        </w:tc>
      </w:tr>
      <w:tr>
        <w:trPr/>
        <w:tc>
          <w:tcPr>
            <w:tcW w:w="46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H9: Help users recognize, diagnose, and recover from errors</w:t>
            </w:r>
          </w:p>
        </w:tc>
        <w:tc>
          <w:tcPr>
            <w:tcW w:w="1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0</w:t>
            </w:r>
          </w:p>
        </w:tc>
      </w:tr>
      <w:tr>
        <w:trPr/>
        <w:tc>
          <w:tcPr>
            <w:tcW w:w="46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H10: Help and documentation</w:t>
            </w:r>
          </w:p>
        </w:tc>
        <w:tc>
          <w:tcPr>
            <w:tcW w:w="1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0</w:t>
            </w:r>
          </w:p>
        </w:tc>
      </w:tr>
      <w:tr>
        <w:trPr/>
        <w:tc>
          <w:tcPr>
            <w:tcW w:w="4680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NE: Altri problemi - non direttamente riconducibili alle euristiche di Nielsen</w:t>
            </w:r>
          </w:p>
        </w:tc>
        <w:tc>
          <w:tcPr>
            <w:tcW w:w="1425" w:type="dxa"/>
            <w:tcBorders>
              <w:top w:val="single" w:sz="8" w:space="0" w:color="000000"/>
              <w:start w:val="single" w:sz="8" w:space="0" w:color="000000"/>
              <w:bottom w:val="single" w:sz="8" w:space="0" w:color="000000"/>
              <w:end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  <w:t>0</w:t>
            </w:r>
          </w:p>
        </w:tc>
      </w:tr>
    </w:tbl>
    <w:p>
      <w:pPr>
        <w:pStyle w:val="Normal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</w:r>
    </w:p>
    <w:p>
      <w:pPr>
        <w:pStyle w:val="BodyText"/>
        <w:ind w:hanging="0" w:start="0" w:end="0"/>
        <w:rPr/>
      </w:pPr>
      <w:r>
        <w:rPr>
          <w:b/>
        </w:rPr>
        <w:t>Sintesi e Raccomandazioni:</w:t>
      </w:r>
      <w:r>
        <w:rPr/>
        <w:t xml:space="preserve"> Il prototipo Sorteat risponde bene agli obiettivi di alto livello relativi alla gestione dell'inventario e alla riduzione dello spreco, tuttavia presenta diverse criticità a livello di micro-interazioni che ne penalizzano l'usabilità quotidiana. La maggior parte dei problemi riscontrati riguarda la mancata aderenza agli standard di interfaccia (H4) e la discordanza tra il funzionamento del sistema e le aspettative del mondo reale (H2), specialmente nella gestione dei dati numerici e delle date.</w:t>
      </w:r>
    </w:p>
    <w:p>
      <w:pPr>
        <w:pStyle w:val="BodyText"/>
        <w:rPr/>
      </w:pPr>
      <w:r>
        <w:rPr/>
        <w:t>Per migliorare il prototipo, si raccomanda prioritariamente di: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ind w:hanging="283" w:start="709"/>
        <w:rPr/>
      </w:pPr>
      <w:r>
        <w:rPr>
          <w:b/>
        </w:rPr>
        <w:t>Standardizzare i controlli di input:</w:t>
      </w:r>
      <w:r>
        <w:rPr/>
        <w:t xml:space="preserve"> Sostituire i menù a tendina custom per date e condivisione con componenti nativi (date pic</w:t>
      </w:r>
      <w:r>
        <w:rPr/>
        <w:t>x</w:t>
      </w:r>
      <w:r>
        <w:rPr/>
        <w:t>ker standard) e controlli più immediati (checkbox o toggle) per velocizzare l'inserimento manuale, cruciale per l'adozione dell'app.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ind w:hanging="283" w:start="709" w:end="0"/>
        <w:rPr/>
      </w:pPr>
      <w:r>
        <w:rPr>
          <w:b/>
        </w:rPr>
        <w:t>Implementare la logica delle unità di misura:</w:t>
      </w:r>
      <w:r>
        <w:rPr/>
        <w:t xml:space="preserve"> È fondamentale che il sistema riconosca le conversioni (es. 1000g = 1Kg) per garantire che l'inventario rispecchi la realtà fisica della dispensa e prevenire acquisti doppi.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140"/>
        <w:ind w:hanging="283" w:start="709"/>
        <w:rPr/>
      </w:pPr>
      <w:r>
        <w:rPr>
          <w:b/>
        </w:rPr>
        <w:t>Chiarire i flussi finanziari:</w:t>
      </w:r>
      <w:r>
        <w:rPr/>
        <w:t xml:space="preserve"> Rendere esplicito, tramite feedback testuale o modali di conferma, che il "saldo debiti" è una registrazione manuale e non una transazione bancaria, per evitare malintesi tra coinquilini.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140"/>
        <w:ind w:hanging="283" w:start="709"/>
        <w:rPr>
          <w:b/>
          <w:bCs/>
        </w:rPr>
      </w:pPr>
      <w:r>
        <w:rPr>
          <w:b/>
          <w:bCs/>
        </w:rPr>
        <w:t xml:space="preserve">Aggiungere la possibilità di mettere ricette personalizzate: </w:t>
      </w:r>
      <w:r>
        <w:rPr>
          <w:b w:val="false"/>
          <w:bCs w:val="false"/>
        </w:rPr>
        <w:t>Per rendere l’applicazione più flessibile e adattabile sarebbe utile aggiungere la possibilità di mettere ricette personalizzate con un quantitativo di ingredienti e magari una breve descrizione in modo tale da rendere il piano settimanale il più fedele possibile</w:t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OpenSymbol">
    <w:altName w:val="Arial Unicode MS"/>
    <w:charset w:val="00" w:characterSet="windows-1252"/>
    <w:family w:val="swiss"/>
    <w:pitch w:val="variable"/>
    <w:embedRegular r:id="rId14" w:fontKey="{0E014A78-CABC-4EF0-12AC-5CD89AEFDE0E}"/>
  </w:font>
  <w:font w:name="Liberation Sans">
    <w:altName w:val="Arial"/>
    <w:charset w:val="00" w:characterSet="windows-1252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Calibri">
    <w:charset w:val="00" w:characterSet="windows-1252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11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6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it-IT" w:eastAsia="zh-CN" w:bidi="hi-IN"/>
      </w:rPr>
    </w:rPrDefault>
    <w:pPrDefault>
      <w:pPr>
        <w:suppressAutoHyphens w:val="true"/>
      </w:pPr>
    </w:pPrDefault>
  </w:docDefault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it-IT" w:eastAsia="zh-CN" w:bidi="hi-IN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untiuser">
    <w:name w:val="Punti (user)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character" w:styleId="Caratteridinumerazioneuser">
    <w:name w:val="Caratteri di numerazione (user)"/>
    <w:qFormat/>
    <w:rPr/>
  </w:style>
  <w:style w:type="paragraph" w:styleId="Titolo">
    <w:name w:val="Tito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ice">
    <w:name w:val="Indice"/>
    <w:basedOn w:val="Normal"/>
    <w:qFormat/>
    <w:pPr>
      <w:suppressLineNumbers/>
    </w:pPr>
    <w:rPr>
      <w:rFonts w:cs="Lucida Sans"/>
    </w:rPr>
  </w:style>
  <w:style w:type="paragraph" w:styleId="Titolouser">
    <w:name w:val="Tito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Indiceuser">
    <w:name w:val="Indice (user)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it-IT" w:eastAsia="zh-CN" w:bidi="hi-IN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uiPriority w:val="11"/>
    <w:qFormat/>
    <w:pPr>
      <w:keepNext w:val="true"/>
      <w:keepLines/>
      <w:spacing w:lineRule="auto" w:line="240" w:before="0"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433f1d"/>
    <w:pPr>
      <w:spacing w:before="0" w:after="0"/>
      <w:ind w:start="720"/>
      <w:contextualSpacing/>
    </w:pPr>
    <w:rPr/>
  </w:style>
  <w:style w:type="paragraph" w:styleId="Lineaorizzontaleuser">
    <w:name w:val="Linea orizzontale (user)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Contenutotabellauser">
    <w:name w:val="Contenuto tabella (user)"/>
    <w:basedOn w:val="Normal"/>
    <w:qFormat/>
    <w:pPr>
      <w:widowControl w:val="false"/>
      <w:suppressLineNumbers/>
    </w:pPr>
    <w:rPr/>
  </w:style>
  <w:style w:type="paragraph" w:styleId="Titolotabellauser">
    <w:name w:val="Titolo tabella (user)"/>
    <w:basedOn w:val="Contenutotabellauser"/>
    <w:qFormat/>
    <w:pPr>
      <w:suppressLineNumbers/>
      <w:jc w:val="center"/>
    </w:pPr>
    <w:rPr>
      <w:b/>
      <w:bCs/>
    </w:rPr>
  </w:style>
  <w:style w:type="numbering" w:styleId="Nessunelencouser" w:default="1">
    <w:name w:val="Nessun elenco (user)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ellanormale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Relationship Id="rId14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iqdO5kkpzpwYoryd+FKaa0Ev4+Q==">CgMxLjAyCGguZ2pkZ3hzMgloLjMwajB6bGwyCWguMWZvYjl0ZTIJaC4zem55c2g3MgloLjJldDkycDAyCGgudHlqY3d0MgloLjNkeTZ2a20yDmguOGVrbHY1OXU2ZG52OAByITFRRXdPYjcwSTFIQVd3VXVQMjhSV2RkSnR0bVFCNnNaeg==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219</TotalTime>
  <Application>LibreOffice/25.8.3.2$Windows_X86_64 LibreOffice_project/8ca8d55c161d602844f5428fa4b58097424e324e</Application>
  <AppVersion>15.0000</AppVersion>
  <Pages>8</Pages>
  <Words>1179</Words>
  <Characters>6816</Characters>
  <CharactersWithSpaces>7854</CharactersWithSpaces>
  <Paragraphs>93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2023-11-25T15:50:00Z</dcterms:created>
  <dc:creator>Maristella Matera</dc:creator>
  <dc:description/>
  <dc:language>it-IT</dc:language>
  <cp:lastModifiedBy/>
  <dcterms:modified xsi:type="dcterms:W3CDTF">2025-12-21T22:06:03Z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